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E6" w:rsidRPr="000765E6" w:rsidRDefault="000765E6" w:rsidP="008066E4">
      <w:pPr>
        <w:pStyle w:val="Heading2"/>
        <w:rPr>
          <w:lang w:val="ka-GE"/>
        </w:rPr>
      </w:pPr>
      <w:r w:rsidRPr="000765E6">
        <w:rPr>
          <w:rFonts w:ascii="Sylfaen" w:hAnsi="Sylfaen" w:cs="Sylfaen"/>
          <w:lang w:val="ka-GE"/>
        </w:rPr>
        <w:t>ნულოვანი</w:t>
      </w:r>
      <w:r w:rsidRPr="000765E6">
        <w:rPr>
          <w:lang w:val="ka-GE"/>
        </w:rPr>
        <w:t xml:space="preserve"> </w:t>
      </w:r>
      <w:r w:rsidRPr="000765E6">
        <w:rPr>
          <w:rFonts w:ascii="Sylfaen" w:hAnsi="Sylfaen" w:cs="Sylfaen"/>
          <w:lang w:val="ka-GE"/>
        </w:rPr>
        <w:t>ტუბერკულოზის</w:t>
      </w:r>
      <w:r w:rsidRPr="000765E6">
        <w:rPr>
          <w:lang w:val="ka-GE"/>
        </w:rPr>
        <w:t xml:space="preserve"> </w:t>
      </w:r>
      <w:r w:rsidRPr="000765E6">
        <w:rPr>
          <w:rFonts w:ascii="Sylfaen" w:hAnsi="Sylfaen" w:cs="Sylfaen"/>
          <w:lang w:val="ka-GE"/>
        </w:rPr>
        <w:t>რეგიონული</w:t>
      </w:r>
      <w:r w:rsidRPr="000765E6">
        <w:rPr>
          <w:lang w:val="ka-GE"/>
        </w:rPr>
        <w:t xml:space="preserve"> </w:t>
      </w:r>
      <w:r w:rsidRPr="000765E6">
        <w:rPr>
          <w:rFonts w:ascii="Sylfaen" w:hAnsi="Sylfaen" w:cs="Sylfaen"/>
          <w:lang w:val="ka-GE"/>
        </w:rPr>
        <w:t>ინიციატივა</w:t>
      </w:r>
    </w:p>
    <w:p w:rsidR="000765E6" w:rsidRPr="000765E6" w:rsidRDefault="000765E6" w:rsidP="008066E4">
      <w:pPr>
        <w:pStyle w:val="Heading2"/>
        <w:rPr>
          <w:lang w:val="ka-GE"/>
        </w:rPr>
      </w:pPr>
      <w:r w:rsidRPr="000765E6">
        <w:rPr>
          <w:rFonts w:ascii="Sylfaen" w:hAnsi="Sylfaen" w:cs="Sylfaen"/>
          <w:lang w:val="ka-GE"/>
        </w:rPr>
        <w:t>აჭარა</w:t>
      </w:r>
    </w:p>
    <w:p w:rsidR="006C4792" w:rsidRDefault="00484AF7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>ნულოვანი ტუბერკულოიზ</w:t>
      </w:r>
      <w:r w:rsidR="00656914">
        <w:rPr>
          <w:rFonts w:ascii="Sylfaen" w:hAnsi="Sylfaen" w:cs="Helvetica"/>
          <w:color w:val="000000"/>
          <w:sz w:val="20"/>
          <w:szCs w:val="20"/>
          <w:lang w:val="ka-GE"/>
        </w:rPr>
        <w:t>ი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ს </w:t>
      </w:r>
      <w:r w:rsidR="006C4792">
        <w:rPr>
          <w:rFonts w:ascii="Sylfaen" w:hAnsi="Sylfaen" w:cs="Helvetica"/>
          <w:color w:val="000000"/>
          <w:sz w:val="20"/>
          <w:szCs w:val="20"/>
          <w:lang w:val="ka-GE"/>
        </w:rPr>
        <w:t>ინიციატივას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საქართველოს მხრიდან შესაძლოა შეუერთდეს ბათუმი</w:t>
      </w:r>
      <w:r w:rsidR="006C4792">
        <w:rPr>
          <w:rFonts w:ascii="Sylfaen" w:hAnsi="Sylfaen" w:cs="Helvetica"/>
          <w:color w:val="000000"/>
          <w:sz w:val="20"/>
          <w:szCs w:val="20"/>
          <w:lang w:val="ka-GE"/>
        </w:rPr>
        <w:t xml:space="preserve"> და აჭარის რეგიონი მთლიანად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, სადაც მიზანშეწონილია პარტნიო</w:t>
      </w:r>
      <w:r w:rsidR="00B0106E">
        <w:rPr>
          <w:rFonts w:ascii="Sylfaen" w:hAnsi="Sylfaen" w:cs="Helvetica"/>
          <w:color w:val="000000"/>
          <w:sz w:val="20"/>
          <w:szCs w:val="20"/>
          <w:lang w:val="ka-GE"/>
        </w:rPr>
        <w:t>რ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ობის ჩამო</w:t>
      </w:r>
      <w:r w:rsidR="001A57C0">
        <w:rPr>
          <w:rFonts w:ascii="Sylfaen" w:hAnsi="Sylfaen" w:cs="Helvetica"/>
          <w:color w:val="000000"/>
          <w:sz w:val="20"/>
          <w:szCs w:val="20"/>
          <w:lang w:val="ka-GE"/>
        </w:rPr>
        <w:t>ყ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ალიბება ადგილობრივ მთავრობას, საზოგადოებრივი ჯანმრთელობის ცენტრსა და სამედიცინო სერვისის პროვაიდერებს შორის. </w:t>
      </w:r>
    </w:p>
    <w:p w:rsidR="00730337" w:rsidRPr="00730337" w:rsidRDefault="00484AF7" w:rsidP="00D70A1A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ბათუმის </w:t>
      </w:r>
      <w:r w:rsidR="00656914">
        <w:rPr>
          <w:rFonts w:ascii="Sylfaen" w:hAnsi="Sylfaen" w:cs="Helvetica"/>
          <w:color w:val="000000"/>
          <w:sz w:val="20"/>
          <w:szCs w:val="20"/>
          <w:lang w:val="ka-GE"/>
        </w:rPr>
        <w:t xml:space="preserve">და მთლიანად აჭარის რეგიონის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მონაწილეობა </w:t>
      </w:r>
      <w:r w:rsidR="00F93635">
        <w:rPr>
          <w:rFonts w:ascii="Sylfaen" w:hAnsi="Sylfaen" w:cs="Helvetica"/>
          <w:color w:val="000000"/>
          <w:sz w:val="20"/>
          <w:szCs w:val="20"/>
          <w:lang w:val="ka-GE"/>
        </w:rPr>
        <w:t>ნულოვანი ტუბერკულო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ზ</w:t>
      </w:r>
      <w:r w:rsidR="00F93635">
        <w:rPr>
          <w:rFonts w:ascii="Sylfaen" w:hAnsi="Sylfaen" w:cs="Helvetica"/>
          <w:color w:val="000000"/>
          <w:sz w:val="20"/>
          <w:szCs w:val="20"/>
          <w:lang w:val="ka-GE"/>
        </w:rPr>
        <w:t>ი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ს </w:t>
      </w:r>
      <w:r w:rsidR="006C4792">
        <w:rPr>
          <w:rFonts w:ascii="Sylfaen" w:hAnsi="Sylfaen" w:cs="Helvetica"/>
          <w:color w:val="000000"/>
          <w:sz w:val="20"/>
          <w:szCs w:val="20"/>
          <w:lang w:val="ka-GE"/>
        </w:rPr>
        <w:t>ინიციატივაში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და ამდენად</w:t>
      </w:r>
      <w:r w:rsidR="001A57C0">
        <w:rPr>
          <w:rFonts w:ascii="Sylfaen" w:hAnsi="Sylfaen" w:cs="Helvetica"/>
          <w:color w:val="000000"/>
          <w:sz w:val="20"/>
          <w:szCs w:val="20"/>
          <w:lang w:val="ka-GE"/>
        </w:rPr>
        <w:t>,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დამატებითი ღონისძიებების გატარება მნიშვნელოვანია, ვინაიდან </w:t>
      </w:r>
      <w:r w:rsidR="00D70A1A">
        <w:rPr>
          <w:rFonts w:ascii="Sylfaen" w:hAnsi="Sylfaen" w:cs="Helvetica"/>
          <w:color w:val="000000"/>
          <w:sz w:val="20"/>
          <w:szCs w:val="20"/>
          <w:lang w:val="ka-GE"/>
        </w:rPr>
        <w:t xml:space="preserve">ტუბერკულოზის და ფილტვის დაავადებათა ეროვნული ცენტრის 2017 წლის წინასწარი მონაცემებით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აჭარაში ტუბერკულოზის გავრცელება (</w:t>
      </w:r>
      <w:r w:rsidRPr="00484AF7">
        <w:rPr>
          <w:rFonts w:ascii="Sylfaen" w:hAnsi="Sylfaen" w:cs="Helvetica"/>
          <w:color w:val="000000"/>
          <w:sz w:val="20"/>
          <w:szCs w:val="20"/>
          <w:lang w:val="ka-GE"/>
        </w:rPr>
        <w:t>1</w:t>
      </w:r>
      <w:r w:rsidR="00592399" w:rsidRPr="008066E4">
        <w:rPr>
          <w:rFonts w:ascii="Sylfaen" w:hAnsi="Sylfaen" w:cs="Helvetica"/>
          <w:color w:val="000000"/>
          <w:sz w:val="20"/>
          <w:szCs w:val="20"/>
          <w:lang w:val="ka-GE"/>
        </w:rPr>
        <w:t>16,3</w:t>
      </w:r>
      <w:r w:rsidRPr="00484AF7">
        <w:rPr>
          <w:rFonts w:ascii="Sylfaen" w:hAnsi="Sylfaen" w:cs="Helvetica"/>
          <w:color w:val="000000"/>
          <w:sz w:val="20"/>
          <w:szCs w:val="20"/>
          <w:lang w:val="ka-GE"/>
        </w:rPr>
        <w:t xml:space="preserve"> შემთხვევა 100,000 მოსახლეზე)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აჭარბებს ქვეყნის საშუალო მაჩვენებელს (</w:t>
      </w:r>
      <w:r w:rsidR="00592399" w:rsidRPr="008066E4">
        <w:rPr>
          <w:rFonts w:ascii="Sylfaen" w:hAnsi="Sylfaen" w:cs="Helvetica"/>
          <w:color w:val="000000"/>
          <w:sz w:val="20"/>
          <w:szCs w:val="20"/>
          <w:lang w:val="ka-GE"/>
        </w:rPr>
        <w:t>77,</w:t>
      </w:r>
      <w:r w:rsidRPr="00484AF7">
        <w:rPr>
          <w:rFonts w:ascii="Sylfaen" w:hAnsi="Sylfaen" w:cs="Helvetica"/>
          <w:color w:val="000000"/>
          <w:sz w:val="20"/>
          <w:szCs w:val="20"/>
          <w:lang w:val="ka-GE"/>
        </w:rPr>
        <w:t>9 შემთხვევა 100,000 მოსახლეზე)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და ამ შემთხვევების </w:t>
      </w:r>
      <w:r w:rsidR="00F93635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  <w:r w:rsidR="00592399">
        <w:rPr>
          <w:rFonts w:ascii="Sylfaen" w:hAnsi="Sylfaen" w:cs="Helvetica"/>
          <w:color w:val="000000"/>
          <w:sz w:val="20"/>
          <w:szCs w:val="20"/>
          <w:lang w:val="ka-GE"/>
        </w:rPr>
        <w:t>უ</w:t>
      </w:r>
      <w:r w:rsidR="00F93635">
        <w:rPr>
          <w:rFonts w:ascii="Sylfaen" w:hAnsi="Sylfaen" w:cs="Helvetica"/>
          <w:color w:val="000000"/>
          <w:sz w:val="20"/>
          <w:szCs w:val="20"/>
          <w:lang w:val="ka-GE"/>
        </w:rPr>
        <w:t>მეტ</w:t>
      </w:r>
      <w:r w:rsidR="00592399">
        <w:rPr>
          <w:rFonts w:ascii="Sylfaen" w:hAnsi="Sylfaen" w:cs="Helvetica"/>
          <w:color w:val="000000"/>
          <w:sz w:val="20"/>
          <w:szCs w:val="20"/>
          <w:lang w:val="ka-GE"/>
        </w:rPr>
        <w:t>ესობა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ბათუმშია რეგისტრირებული</w:t>
      </w:r>
      <w:r w:rsidR="009D0B8E">
        <w:rPr>
          <w:rFonts w:ascii="Sylfaen" w:hAnsi="Sylfaen" w:cs="Helvetica"/>
          <w:color w:val="000000"/>
          <w:sz w:val="20"/>
          <w:szCs w:val="20"/>
          <w:lang w:val="ka-GE"/>
        </w:rPr>
        <w:t xml:space="preserve"> (აჭარაში 2017 წელს დარეგისტრირდა 392 შემთხვევა. მათ შორის ბათუმში - 336</w:t>
      </w:r>
      <w:r w:rsidR="000765E6">
        <w:rPr>
          <w:rFonts w:ascii="Sylfaen" w:hAnsi="Sylfaen" w:cs="Helvetica"/>
          <w:color w:val="000000"/>
          <w:sz w:val="20"/>
          <w:szCs w:val="20"/>
          <w:lang w:val="ka-GE"/>
        </w:rPr>
        <w:t>)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.</w:t>
      </w:r>
      <w:r w:rsidR="00B0106E"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</w:p>
    <w:p w:rsidR="00484AF7" w:rsidRDefault="00B0106E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>პროექტის განხორციელება ბათუმში ხელს შეუწყობს</w:t>
      </w:r>
      <w:r w:rsidR="0025194E">
        <w:rPr>
          <w:rFonts w:ascii="Sylfaen" w:hAnsi="Sylfaen" w:cs="Helvetica"/>
          <w:color w:val="000000"/>
          <w:sz w:val="20"/>
          <w:szCs w:val="20"/>
          <w:lang w:val="ka-GE"/>
        </w:rPr>
        <w:t xml:space="preserve"> მდგრადი პარტნიორობის ჩამოყალიბებას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, </w:t>
      </w:r>
      <w:r w:rsidR="0025194E">
        <w:rPr>
          <w:rFonts w:ascii="Sylfaen" w:hAnsi="Sylfaen" w:cs="Helvetica"/>
          <w:color w:val="000000"/>
          <w:sz w:val="20"/>
          <w:szCs w:val="20"/>
          <w:lang w:val="ka-GE"/>
        </w:rPr>
        <w:t xml:space="preserve">რის შედეგადაც შესაძლებელი გახდება 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>როგორც ადგილობრივი რესურსების, ასევე საერთაშორისო დახმარების მობილიზაცია, ტუბერკულოზის ყოვლისმომცველი ეპიდემიოლოგიური კონტროლი</w:t>
      </w:r>
      <w:r w:rsidR="000765E6">
        <w:rPr>
          <w:rFonts w:ascii="Sylfaen" w:hAnsi="Sylfaen" w:cs="Helvetica"/>
          <w:color w:val="000000"/>
          <w:sz w:val="20"/>
          <w:szCs w:val="20"/>
          <w:lang w:val="ka-GE"/>
        </w:rPr>
        <w:t>.</w:t>
      </w: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</w:p>
    <w:p w:rsidR="00C16586" w:rsidRDefault="002023CD" w:rsidP="002023CD">
      <w:pPr>
        <w:spacing w:before="12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>აჭარის მთავრობ</w:t>
      </w:r>
      <w:r w:rsidR="00CF3234">
        <w:rPr>
          <w:rFonts w:ascii="Sylfaen" w:eastAsia="Sylfaen" w:hAnsi="Sylfaen" w:cs="Sylfaen"/>
          <w:sz w:val="20"/>
          <w:szCs w:val="20"/>
          <w:lang w:val="ka-GE"/>
        </w:rPr>
        <w:t>ა</w:t>
      </w:r>
      <w:r>
        <w:rPr>
          <w:rFonts w:ascii="Sylfaen" w:eastAsia="Sylfaen" w:hAnsi="Sylfaen" w:cs="Sylfaen"/>
          <w:sz w:val="20"/>
          <w:szCs w:val="20"/>
          <w:lang w:val="ka-GE"/>
        </w:rPr>
        <w:t>ს</w:t>
      </w:r>
      <w:r w:rsidR="00CF3234">
        <w:rPr>
          <w:rFonts w:ascii="Sylfaen" w:eastAsia="Sylfaen" w:hAnsi="Sylfaen" w:cs="Sylfaen"/>
          <w:sz w:val="20"/>
          <w:szCs w:val="20"/>
          <w:lang w:val="ka-GE"/>
        </w:rPr>
        <w:t>თან თამაშრომლობით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დაავადებათა კონტროლისა და საზოგადოებრივი ჯანმრთელობის ეროვნული ცენტრი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 xml:space="preserve">, შრომის ჯანმრტელობისა და სოციალური დაცვის სამინისტროსთან შეტანხმებით, </w:t>
      </w:r>
      <w:r>
        <w:rPr>
          <w:rFonts w:ascii="Sylfaen" w:eastAsia="Sylfaen" w:hAnsi="Sylfaen" w:cs="Sylfaen"/>
          <w:sz w:val="20"/>
          <w:szCs w:val="20"/>
          <w:lang w:val="ka-GE"/>
        </w:rPr>
        <w:t>აწარმოებ</w:t>
      </w:r>
      <w:r w:rsidR="00CF3234">
        <w:rPr>
          <w:rFonts w:ascii="Sylfaen" w:eastAsia="Sylfaen" w:hAnsi="Sylfaen" w:cs="Sylfaen"/>
          <w:sz w:val="20"/>
          <w:szCs w:val="20"/>
          <w:lang w:val="ka-GE"/>
        </w:rPr>
        <w:t>ს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 მოლაპარაკებას გლობალურ ფონდთან დამატებითი დაფინანსების გამოყოფის თაობაზე.</w:t>
      </w:r>
      <w:r w:rsidR="00D70A1A">
        <w:rPr>
          <w:rFonts w:ascii="Sylfaen" w:eastAsia="Sylfaen" w:hAnsi="Sylfaen" w:cs="Sylfaen"/>
          <w:sz w:val="20"/>
          <w:szCs w:val="20"/>
          <w:lang w:val="ka-GE"/>
        </w:rPr>
        <w:t xml:space="preserve"> დონორის დაფინანსება მოიცავს ინიციატივის განხორციელების საწყის ინვესტიციას, როგორიცაა რენტგენის აპარატით და ტესტ სისტემებით აღჭურვილი  ‘მობილური დიაგნოსტიკური ამბულატორიის“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 და ოთხი ავტომანქანის</w:t>
      </w:r>
      <w:r w:rsidR="00D70A1A">
        <w:rPr>
          <w:rFonts w:ascii="Sylfaen" w:eastAsia="Sylfaen" w:hAnsi="Sylfaen" w:cs="Sylfaen"/>
          <w:sz w:val="20"/>
          <w:szCs w:val="20"/>
          <w:lang w:val="ka-GE"/>
        </w:rPr>
        <w:t xml:space="preserve"> შეძენა, ასევე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 სამი </w:t>
      </w:r>
      <w:r w:rsidR="00D70A1A">
        <w:rPr>
          <w:rFonts w:ascii="Sylfaen" w:eastAsia="Sylfaen" w:hAnsi="Sylfaen" w:cs="Sylfaen"/>
          <w:sz w:val="20"/>
          <w:szCs w:val="20"/>
          <w:lang w:val="ka-GE"/>
        </w:rPr>
        <w:t xml:space="preserve">დამატებით </w:t>
      </w:r>
      <w:r w:rsidR="00D70A1A" w:rsidRPr="00D70A1A">
        <w:rPr>
          <w:rFonts w:ascii="Sylfaen" w:eastAsia="Sylfaen" w:hAnsi="Sylfaen" w:cs="Sylfaen"/>
          <w:sz w:val="20"/>
          <w:szCs w:val="20"/>
          <w:lang w:val="ka-GE"/>
        </w:rPr>
        <w:t>Xpert MTB/RIF</w:t>
      </w:r>
      <w:r w:rsidR="00D70A1A">
        <w:rPr>
          <w:rFonts w:ascii="Sylfaen" w:eastAsia="Sylfaen" w:hAnsi="Sylfaen" w:cs="Sylfaen"/>
          <w:sz w:val="20"/>
          <w:szCs w:val="20"/>
          <w:lang w:val="ka-GE"/>
        </w:rPr>
        <w:t xml:space="preserve"> აპარატების მიწოდება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, კომპიუტერული ტექნიკის (ლეპტოპების და ტაბლეტების) შეძენა საზოგადოებრივი ჯანდაცვის ცენტრების პერსონალისთვის და მობილური ტელეფონები პაციენტებისთვის ვიდეო მეთვალყურეობით მკურნალობაში ჩართვისთვის. აღნიშნული ინვსტიციის მოცულობა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 xml:space="preserve">დაახლოებით 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200 000 აშშ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>დოლარია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. აჭარის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>სამინისტრო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 უზრუნველყოფს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 xml:space="preserve">პროგრამის ადგილზე განხორციელების მხარდაჭერას, მათ შორის 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პერსონალის ხელფასს და მიმდინარე ხარჯების დაფინანსებას, რისთვისაც 2018 წელს </w:t>
      </w:r>
      <w:r w:rsidR="00FC5ED7">
        <w:rPr>
          <w:rFonts w:ascii="Sylfaen" w:eastAsia="Sylfaen" w:hAnsi="Sylfaen" w:cs="Sylfaen"/>
          <w:sz w:val="20"/>
          <w:szCs w:val="20"/>
          <w:lang w:val="ka-GE"/>
        </w:rPr>
        <w:t>წინასწარი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 შეთანხმებით გამოიყოფა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 xml:space="preserve">დაახლოებით </w:t>
      </w:r>
      <w:r w:rsidR="00C16586" w:rsidRPr="00C759C6">
        <w:rPr>
          <w:rFonts w:ascii="Sylfaen" w:eastAsia="Sylfaen" w:hAnsi="Sylfaen" w:cs="Sylfaen"/>
          <w:sz w:val="20"/>
          <w:szCs w:val="20"/>
          <w:lang w:val="ka-GE"/>
        </w:rPr>
        <w:t>6</w:t>
      </w:r>
      <w:r w:rsidR="000765E6" w:rsidRPr="00C759C6">
        <w:rPr>
          <w:rFonts w:ascii="Sylfaen" w:eastAsia="Sylfaen" w:hAnsi="Sylfaen" w:cs="Sylfaen"/>
          <w:sz w:val="20"/>
          <w:szCs w:val="20"/>
          <w:lang w:val="ka-GE"/>
        </w:rPr>
        <w:t>2</w:t>
      </w:r>
      <w:r w:rsidR="00C16586" w:rsidRPr="00C759C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C759C6" w:rsidRPr="00C759C6">
        <w:rPr>
          <w:rFonts w:ascii="Sylfaen" w:eastAsia="Sylfaen" w:hAnsi="Sylfaen" w:cs="Sylfaen"/>
          <w:sz w:val="20"/>
          <w:szCs w:val="20"/>
          <w:lang w:val="ka-GE"/>
        </w:rPr>
        <w:t>867</w:t>
      </w:r>
      <w:r w:rsidR="00C16586" w:rsidRPr="00C759C6">
        <w:rPr>
          <w:rFonts w:ascii="Sylfaen" w:eastAsia="Sylfaen" w:hAnsi="Sylfaen" w:cs="Sylfaen"/>
          <w:sz w:val="20"/>
          <w:szCs w:val="20"/>
          <w:lang w:val="ka-GE"/>
        </w:rPr>
        <w:t xml:space="preserve"> ლარი.</w:t>
      </w:r>
      <w:r w:rsidR="00C1658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</w:p>
    <w:p w:rsidR="00EA3579" w:rsidRDefault="00C16586" w:rsidP="002023CD">
      <w:pPr>
        <w:spacing w:before="12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ნულოვანი ტუბერკულოზის ინიციატივა მოიცავს ორ ძირითად მიმართულებას:  </w:t>
      </w:r>
      <w:r w:rsidR="00EE4529">
        <w:rPr>
          <w:rFonts w:ascii="Sylfaen" w:eastAsia="Sylfaen" w:hAnsi="Sylfaen" w:cs="Sylfaen"/>
          <w:sz w:val="20"/>
          <w:szCs w:val="20"/>
          <w:lang w:val="ka-GE"/>
        </w:rPr>
        <w:t xml:space="preserve">ტუბერკულოზის, აივ ინფექციის და </w:t>
      </w:r>
      <w:r w:rsidR="009D0B8E" w:rsidRPr="008066E4">
        <w:rPr>
          <w:rFonts w:ascii="Sylfaen" w:eastAsia="Sylfaen" w:hAnsi="Sylfaen" w:cs="Sylfaen"/>
          <w:sz w:val="20"/>
          <w:szCs w:val="20"/>
          <w:lang w:val="ka-GE"/>
        </w:rPr>
        <w:t xml:space="preserve">C </w:t>
      </w:r>
      <w:r w:rsidR="00EE4529">
        <w:rPr>
          <w:rFonts w:ascii="Sylfaen" w:eastAsia="Sylfaen" w:hAnsi="Sylfaen" w:cs="Sylfaen"/>
          <w:sz w:val="20"/>
          <w:szCs w:val="20"/>
          <w:lang w:val="ka-GE"/>
        </w:rPr>
        <w:t xml:space="preserve">ჰეპატიტის სკრინინგს და </w:t>
      </w:r>
      <w:r w:rsidR="00EE4529" w:rsidRPr="00EE4529">
        <w:rPr>
          <w:rFonts w:ascii="Sylfaen" w:eastAsia="Sylfaen" w:hAnsi="Sylfaen" w:cs="Sylfaen"/>
          <w:sz w:val="20"/>
          <w:szCs w:val="20"/>
          <w:lang w:val="ka-GE"/>
        </w:rPr>
        <w:t>ტუბერკულოზის მკურნალობის გამოსავლების გაუმჯობესება</w:t>
      </w:r>
      <w:r w:rsidR="00EE4529">
        <w:rPr>
          <w:rFonts w:ascii="Sylfaen" w:eastAsia="Sylfaen" w:hAnsi="Sylfaen" w:cs="Sylfaen"/>
          <w:sz w:val="20"/>
          <w:szCs w:val="20"/>
          <w:lang w:val="ka-GE"/>
        </w:rPr>
        <w:t>ს</w:t>
      </w:r>
      <w:r w:rsidR="00EE4529" w:rsidRPr="00EE4529">
        <w:rPr>
          <w:rFonts w:ascii="Sylfaen" w:eastAsia="Sylfaen" w:hAnsi="Sylfaen" w:cs="Sylfaen"/>
          <w:sz w:val="20"/>
          <w:szCs w:val="20"/>
          <w:lang w:val="ka-GE"/>
        </w:rPr>
        <w:t xml:space="preserve"> ტუბერკულოზის შემთხვევის სრულყოფილი მართვის გზით</w:t>
      </w:r>
      <w:r w:rsidR="00EE4529">
        <w:rPr>
          <w:rFonts w:ascii="Sylfaen" w:eastAsia="Sylfaen" w:hAnsi="Sylfaen" w:cs="Sylfaen"/>
          <w:sz w:val="20"/>
          <w:szCs w:val="20"/>
          <w:lang w:val="ka-GE"/>
        </w:rPr>
        <w:t>. პირველი კომპონენტის ფარგლებში ჩატარდება სამედიცინო პერსონალის ტრენინგი და დაინერგება აქტიური სკრინინგი</w:t>
      </w:r>
      <w:r w:rsidR="00EA35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EA3579" w:rsidRPr="00EA3579">
        <w:rPr>
          <w:rFonts w:ascii="Sylfaen" w:eastAsia="Sylfaen" w:hAnsi="Sylfaen" w:cs="Sylfaen"/>
          <w:sz w:val="20"/>
          <w:szCs w:val="20"/>
          <w:lang w:val="ka-GE"/>
        </w:rPr>
        <w:t>აჭარის რეგიონის სოფლებში</w:t>
      </w:r>
      <w:r w:rsidR="00EA35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EA3579" w:rsidRPr="00EA3579">
        <w:rPr>
          <w:rFonts w:ascii="Sylfaen" w:eastAsia="Sylfaen" w:hAnsi="Sylfaen" w:cs="Sylfaen"/>
          <w:sz w:val="20"/>
          <w:szCs w:val="20"/>
          <w:lang w:val="ka-GE"/>
        </w:rPr>
        <w:t xml:space="preserve">კარ-და-კარის პრინციპით </w:t>
      </w:r>
      <w:r w:rsidR="00EA3579">
        <w:rPr>
          <w:rFonts w:ascii="Sylfaen" w:eastAsia="Sylfaen" w:hAnsi="Sylfaen" w:cs="Sylfaen"/>
          <w:sz w:val="20"/>
          <w:szCs w:val="20"/>
          <w:lang w:val="ka-GE"/>
        </w:rPr>
        <w:t xml:space="preserve">და </w:t>
      </w:r>
      <w:r w:rsidR="00EA3579" w:rsidRPr="00EA3579">
        <w:rPr>
          <w:rFonts w:ascii="Sylfaen" w:eastAsia="Sylfaen" w:hAnsi="Sylfaen" w:cs="Sylfaen"/>
          <w:sz w:val="20"/>
          <w:szCs w:val="20"/>
          <w:lang w:val="ka-GE"/>
        </w:rPr>
        <w:t xml:space="preserve">ბათუმსა და ქობულეთში </w:t>
      </w:r>
      <w:r w:rsidR="00EA3579">
        <w:rPr>
          <w:rFonts w:ascii="Sylfaen" w:eastAsia="Sylfaen" w:hAnsi="Sylfaen" w:cs="Sylfaen"/>
          <w:sz w:val="20"/>
          <w:szCs w:val="20"/>
          <w:lang w:val="ka-GE"/>
        </w:rPr>
        <w:t xml:space="preserve">მოსახლეობის სამიზნე გჯუფებში, როგორიცაა </w:t>
      </w:r>
      <w:r w:rsidR="00EA3579" w:rsidRPr="00EA3579">
        <w:rPr>
          <w:rFonts w:ascii="Sylfaen" w:eastAsia="Sylfaen" w:hAnsi="Sylfaen" w:cs="Sylfaen"/>
          <w:sz w:val="20"/>
          <w:szCs w:val="20"/>
          <w:lang w:val="ka-GE"/>
        </w:rPr>
        <w:t xml:space="preserve"> იძულებით გადაადგილებული პირების კომპაქტური ჩასახლების ადგილები, საერთო საცხოვრებლები, თავშესაფრები, და სხვა</w:t>
      </w:r>
      <w:r w:rsidR="00EA3579">
        <w:rPr>
          <w:rFonts w:ascii="Sylfaen" w:eastAsia="Sylfaen" w:hAnsi="Sylfaen" w:cs="Sylfaen"/>
          <w:sz w:val="20"/>
          <w:szCs w:val="20"/>
          <w:lang w:val="ka-GE"/>
        </w:rPr>
        <w:t xml:space="preserve">. </w:t>
      </w:r>
    </w:p>
    <w:p w:rsidR="00D70A1A" w:rsidRDefault="00EA3579" w:rsidP="002023CD">
      <w:pPr>
        <w:spacing w:before="12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მეორე კომპონენტი 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t>გულისხმობს ტუბერკულოზის შემთხვევის ინტენსიური მართვის სისტემის ჩამოყალიბებას ადგილობრივი საზოგადოებრივი ჯანდაცვის ცენტრების ჩართვის გზით, სადაც შეიქმნება  ტუბერკულოზის შემთხვევის მენეჯერის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 xml:space="preserve"> პოზიცია/ფუნქცია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t xml:space="preserve">.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 xml:space="preserve">მოაზრებულია, რომ 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t xml:space="preserve">ტუბერკულოზის შემთხვევების მენეჯერები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>გა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t xml:space="preserve">აკონტროლებენ და კოორდინაციას </w:t>
      </w:r>
      <w:r w:rsidR="000765E6">
        <w:rPr>
          <w:rFonts w:ascii="Sylfaen" w:eastAsia="Sylfaen" w:hAnsi="Sylfaen" w:cs="Sylfaen"/>
          <w:sz w:val="20"/>
          <w:szCs w:val="20"/>
          <w:lang w:val="ka-GE"/>
        </w:rPr>
        <w:t>გაუწევენ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t xml:space="preserve"> ყველა საჭირო კლინიკურ და არა კლინიკურ აქტივობას პაციენტის დიაგნოსტიკის თუ მკურნალობის 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lastRenderedPageBreak/>
        <w:t xml:space="preserve">პროცესში. </w:t>
      </w:r>
      <w:r w:rsidR="001C0FDF" w:rsidRPr="001C0FDF">
        <w:rPr>
          <w:rFonts w:ascii="Sylfaen" w:eastAsia="Sylfaen" w:hAnsi="Sylfaen" w:cs="Sylfaen"/>
          <w:sz w:val="20"/>
          <w:szCs w:val="20"/>
          <w:lang w:val="ka-GE"/>
        </w:rPr>
        <w:t>პროექტი</w:t>
      </w:r>
      <w:r w:rsidR="009D0B8E" w:rsidRPr="008066E4">
        <w:rPr>
          <w:rFonts w:ascii="Sylfaen" w:eastAsia="Sylfaen" w:hAnsi="Sylfaen" w:cs="Sylfaen"/>
          <w:sz w:val="20"/>
          <w:szCs w:val="20"/>
          <w:lang w:val="ka-GE"/>
        </w:rPr>
        <w:t>,</w:t>
      </w:r>
      <w:r w:rsidR="001C0FDF" w:rsidRPr="001C0FDF">
        <w:rPr>
          <w:rFonts w:ascii="Sylfaen" w:eastAsia="Sylfaen" w:hAnsi="Sylfaen" w:cs="Sylfaen"/>
          <w:sz w:val="20"/>
          <w:szCs w:val="20"/>
          <w:lang w:val="ka-GE"/>
        </w:rPr>
        <w:t xml:space="preserve"> ასევე</w:t>
      </w:r>
      <w:r w:rsidR="009D0B8E" w:rsidRPr="008066E4">
        <w:rPr>
          <w:rFonts w:ascii="Sylfaen" w:eastAsia="Sylfaen" w:hAnsi="Sylfaen" w:cs="Sylfaen"/>
          <w:sz w:val="20"/>
          <w:szCs w:val="20"/>
          <w:lang w:val="ka-GE"/>
        </w:rPr>
        <w:t>,</w:t>
      </w:r>
      <w:r w:rsidR="001C0FDF" w:rsidRPr="001C0FDF">
        <w:rPr>
          <w:rFonts w:ascii="Sylfaen" w:eastAsia="Sylfaen" w:hAnsi="Sylfaen" w:cs="Sylfaen"/>
          <w:sz w:val="20"/>
          <w:szCs w:val="20"/>
          <w:lang w:val="ka-GE"/>
        </w:rPr>
        <w:t xml:space="preserve"> მიზნად ისახავს ვიდეო მეთვალყურეობით მკურნალობის (VOT) წარმატებული პრაქტიკის გაფართოებას აჭარის რეგიონში</w:t>
      </w:r>
      <w:r w:rsidR="001C0FDF" w:rsidRPr="008066E4">
        <w:rPr>
          <w:rFonts w:ascii="Sylfaen" w:eastAsia="Sylfaen" w:hAnsi="Sylfaen" w:cs="Sylfaen"/>
          <w:sz w:val="20"/>
          <w:szCs w:val="20"/>
          <w:lang w:val="ka-GE"/>
        </w:rPr>
        <w:t>.</w:t>
      </w:r>
      <w:r w:rsidRPr="00EA35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EE4529">
        <w:rPr>
          <w:rFonts w:ascii="Sylfaen" w:eastAsia="Sylfaen" w:hAnsi="Sylfaen" w:cs="Sylfaen"/>
          <w:sz w:val="20"/>
          <w:szCs w:val="20"/>
          <w:lang w:val="ka-GE"/>
        </w:rPr>
        <w:t xml:space="preserve">  </w:t>
      </w:r>
      <w:r w:rsidR="00EE4529" w:rsidRPr="00EE452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D70A1A">
        <w:rPr>
          <w:rFonts w:ascii="Sylfaen" w:eastAsia="Sylfaen" w:hAnsi="Sylfaen" w:cs="Sylfaen"/>
          <w:sz w:val="20"/>
          <w:szCs w:val="20"/>
          <w:lang w:val="ka-GE"/>
        </w:rPr>
        <w:t xml:space="preserve">  </w:t>
      </w:r>
    </w:p>
    <w:p w:rsidR="002023CD" w:rsidRDefault="002023CD" w:rsidP="002023CD">
      <w:pPr>
        <w:spacing w:before="120"/>
        <w:jc w:val="both"/>
        <w:rPr>
          <w:rFonts w:ascii="Sylfaen" w:eastAsia="Sylfaen" w:hAnsi="Sylfaen" w:cs="Sylfaen"/>
          <w:sz w:val="20"/>
          <w:szCs w:val="20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>პროექტის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წარმატების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  <w:lang w:val="ka-GE"/>
        </w:rPr>
        <w:t>აჭარა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გახდება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მოდელი</w:t>
      </w:r>
      <w:proofErr w:type="spellEnd"/>
      <w:r w:rsidR="00090817">
        <w:rPr>
          <w:rFonts w:ascii="Sylfaen" w:eastAsia="Sylfaen" w:hAnsi="Sylfaen" w:cs="Sylfaen"/>
          <w:sz w:val="20"/>
          <w:szCs w:val="20"/>
          <w:lang w:val="ka-GE"/>
        </w:rPr>
        <w:t xml:space="preserve"> და მისი გამოცდილება </w:t>
      </w:r>
      <w:proofErr w:type="spellStart"/>
      <w:r w:rsidR="00090817">
        <w:rPr>
          <w:rFonts w:ascii="Sylfaen" w:eastAsia="Sylfaen" w:hAnsi="Sylfaen" w:cs="Sylfaen"/>
          <w:sz w:val="20"/>
          <w:szCs w:val="20"/>
        </w:rPr>
        <w:t>გაზიარებული</w:t>
      </w:r>
      <w:proofErr w:type="spellEnd"/>
      <w:r w:rsidR="00090817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="00090817">
        <w:rPr>
          <w:rFonts w:ascii="Sylfaen" w:eastAsia="Sylfaen" w:hAnsi="Sylfaen" w:cs="Sylfaen"/>
          <w:sz w:val="20"/>
          <w:szCs w:val="20"/>
        </w:rPr>
        <w:t>იქნება</w:t>
      </w:r>
      <w:proofErr w:type="spellEnd"/>
      <w:r w:rsidR="00090817">
        <w:rPr>
          <w:rFonts w:ascii="Sylfaen" w:eastAsia="Sylfaen" w:hAnsi="Sylfaen" w:cs="Sylfaen"/>
          <w:sz w:val="20"/>
          <w:szCs w:val="20"/>
        </w:rPr>
        <w:t xml:space="preserve"> </w:t>
      </w:r>
      <w:r>
        <w:rPr>
          <w:rFonts w:ascii="Sylfaen" w:eastAsia="Sylfaen" w:hAnsi="Sylfaen" w:cs="Sylfaen"/>
          <w:sz w:val="20"/>
          <w:szCs w:val="20"/>
        </w:rPr>
        <w:t xml:space="preserve"> </w:t>
      </w:r>
      <w:r w:rsidR="00090817">
        <w:rPr>
          <w:rFonts w:ascii="Sylfaen" w:eastAsia="Sylfaen" w:hAnsi="Sylfaen" w:cs="Sylfaen"/>
          <w:sz w:val="20"/>
          <w:szCs w:val="20"/>
          <w:lang w:val="ka-GE"/>
        </w:rPr>
        <w:t xml:space="preserve">როგორც საქართველოს </w:t>
      </w:r>
      <w:proofErr w:type="spellStart"/>
      <w:r>
        <w:rPr>
          <w:rFonts w:ascii="Sylfaen" w:eastAsia="Sylfaen" w:hAnsi="Sylfaen" w:cs="Sylfaen"/>
          <w:sz w:val="20"/>
          <w:szCs w:val="20"/>
        </w:rPr>
        <w:t>სხვა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რეგიონებ</w:t>
      </w:r>
      <w:proofErr w:type="spellEnd"/>
      <w:r w:rsidR="00090817">
        <w:rPr>
          <w:rFonts w:ascii="Sylfaen" w:eastAsia="Sylfaen" w:hAnsi="Sylfaen" w:cs="Sylfaen"/>
          <w:sz w:val="20"/>
          <w:szCs w:val="20"/>
          <w:lang w:val="ka-GE"/>
        </w:rPr>
        <w:t>ში</w:t>
      </w:r>
      <w:r>
        <w:rPr>
          <w:rFonts w:ascii="Sylfaen" w:eastAsia="Sylfaen" w:hAnsi="Sylfaen" w:cs="Sylfaen"/>
          <w:sz w:val="20"/>
          <w:szCs w:val="20"/>
        </w:rPr>
        <w:t xml:space="preserve">, </w:t>
      </w:r>
      <w:r w:rsidR="00090817">
        <w:rPr>
          <w:rFonts w:ascii="Sylfaen" w:eastAsia="Sylfaen" w:hAnsi="Sylfaen" w:cs="Sylfaen"/>
          <w:sz w:val="20"/>
          <w:szCs w:val="20"/>
          <w:lang w:val="ka-GE"/>
        </w:rPr>
        <w:t>ასევე მის ფარგლებს გარეთაც</w:t>
      </w:r>
      <w:r>
        <w:rPr>
          <w:rFonts w:ascii="Sylfaen" w:eastAsia="Sylfaen" w:hAnsi="Sylfaen" w:cs="Sylfaen"/>
          <w:sz w:val="20"/>
          <w:szCs w:val="20"/>
        </w:rPr>
        <w:t xml:space="preserve">. </w:t>
      </w:r>
    </w:p>
    <w:p w:rsidR="000765E6" w:rsidRPr="00574CCD" w:rsidRDefault="000765E6" w:rsidP="002023CD">
      <w:pPr>
        <w:spacing w:before="12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წინასწარი კომუნიკაციით, ინიციატივის მხარდაჭერის სურვილი გამოთქვა პარტნიორობა </w:t>
      </w:r>
      <w:r>
        <w:rPr>
          <w:rFonts w:ascii="Sylfaen" w:eastAsia="Sylfaen" w:hAnsi="Sylfaen" w:cs="Sylfaen"/>
          <w:sz w:val="20"/>
          <w:szCs w:val="20"/>
        </w:rPr>
        <w:t xml:space="preserve">”STOP TB”, </w:t>
      </w:r>
      <w:r>
        <w:rPr>
          <w:rFonts w:ascii="Sylfaen" w:eastAsia="Sylfaen" w:hAnsi="Sylfaen" w:cs="Sylfaen"/>
          <w:sz w:val="20"/>
          <w:szCs w:val="20"/>
          <w:lang w:val="ka-GE"/>
        </w:rPr>
        <w:t xml:space="preserve">რომელსაც შეუძლია თავისი წვლილის შეტანა პილოტის დეტალური ღონისძიებების დაგეგმვასა და შემდგომში პრაქტიკის გაზიარებაში რეგიონის მასშტაბით. შიდა შეთანხმების შემთხვევაში შესაძლოა </w:t>
      </w:r>
      <w:r>
        <w:rPr>
          <w:rFonts w:ascii="Sylfaen" w:eastAsia="Sylfaen" w:hAnsi="Sylfaen" w:cs="Sylfaen"/>
          <w:sz w:val="20"/>
          <w:szCs w:val="20"/>
        </w:rPr>
        <w:t xml:space="preserve">”STOP TB” </w:t>
      </w:r>
      <w:proofErr w:type="spellStart"/>
      <w:r>
        <w:rPr>
          <w:rFonts w:ascii="Sylfaen" w:eastAsia="Sylfaen" w:hAnsi="Sylfaen" w:cs="Sylfaen"/>
          <w:sz w:val="20"/>
          <w:szCs w:val="20"/>
        </w:rPr>
        <w:t>პარტნიორობის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წარმომადგენელთა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მოწვევა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24 </w:t>
      </w:r>
      <w:proofErr w:type="spellStart"/>
      <w:r>
        <w:rPr>
          <w:rFonts w:ascii="Sylfaen" w:eastAsia="Sylfaen" w:hAnsi="Sylfaen" w:cs="Sylfaen"/>
          <w:sz w:val="20"/>
          <w:szCs w:val="20"/>
        </w:rPr>
        <w:t>მარტს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sz w:val="20"/>
          <w:szCs w:val="20"/>
        </w:rPr>
        <w:t>ტუბერკულოზთან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ბრძოლის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საერთაშორისო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დღეს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eastAsia="Sylfaen" w:hAnsi="Sylfaen" w:cs="Sylfaen"/>
          <w:sz w:val="20"/>
          <w:szCs w:val="20"/>
        </w:rPr>
        <w:t>რომლის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აღნიშვნა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და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პილოტური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პროგრამის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წარდგენა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იგეგმება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აჭარის</w:t>
      </w:r>
      <w:proofErr w:type="spellEnd"/>
      <w:r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</w:rPr>
        <w:t>რეგიონში</w:t>
      </w:r>
      <w:proofErr w:type="spellEnd"/>
      <w:r w:rsidR="00574CCD">
        <w:rPr>
          <w:rFonts w:ascii="Sylfaen" w:eastAsia="Sylfaen" w:hAnsi="Sylfaen" w:cs="Sylfaen"/>
          <w:sz w:val="20"/>
          <w:szCs w:val="20"/>
          <w:lang w:val="ka-GE"/>
        </w:rPr>
        <w:t xml:space="preserve"> (მარტის მეორე ნახევრისთვის, სავარაუდოდ მიღებული იქნება გლობალური ფონდის თანხმობაც, წინასწარი კონსულტაციით, მათი მხრიდან პროექტი მხარდაჭერილი იქნება).</w:t>
      </w:r>
      <w:bookmarkStart w:id="0" w:name="_GoBack"/>
      <w:bookmarkEnd w:id="0"/>
      <w:r w:rsidR="00574CCD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</w:p>
    <w:p w:rsidR="001A6FC7" w:rsidRPr="000765E6" w:rsidRDefault="001A6FC7" w:rsidP="002023CD">
      <w:pPr>
        <w:spacing w:before="12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:rsidR="002023CD" w:rsidRPr="00EA3579" w:rsidRDefault="00EA3579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  <w:r>
        <w:rPr>
          <w:rFonts w:ascii="Sylfaen" w:hAnsi="Sylfaen" w:cs="Helvetica"/>
          <w:color w:val="000000"/>
          <w:sz w:val="20"/>
          <w:szCs w:val="20"/>
          <w:lang w:val="ka-GE"/>
        </w:rPr>
        <w:t xml:space="preserve"> </w:t>
      </w:r>
    </w:p>
    <w:p w:rsidR="002023CD" w:rsidRPr="002023CD" w:rsidRDefault="002023CD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</w:rPr>
      </w:pPr>
    </w:p>
    <w:p w:rsidR="006C4792" w:rsidRDefault="006C4792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</w:p>
    <w:p w:rsidR="006C4792" w:rsidRPr="00FB2573" w:rsidRDefault="006C4792" w:rsidP="00AB7820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  <w:sectPr w:rsidR="006C4792" w:rsidRPr="00FB25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880"/>
        <w:gridCol w:w="10260"/>
        <w:gridCol w:w="630"/>
        <w:gridCol w:w="630"/>
      </w:tblGrid>
      <w:tr w:rsidR="00FB2573" w:rsidRPr="00DB4112" w:rsidTr="00FB2573">
        <w:trPr>
          <w:cantSplit/>
          <w:trHeight w:val="1520"/>
        </w:trPr>
        <w:tc>
          <w:tcPr>
            <w:tcW w:w="2880" w:type="dxa"/>
            <w:vAlign w:val="center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  <w:lastRenderedPageBreak/>
              <w:t>აქტივობა</w:t>
            </w:r>
          </w:p>
        </w:tc>
        <w:tc>
          <w:tcPr>
            <w:tcW w:w="10260" w:type="dxa"/>
            <w:vAlign w:val="center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  <w:t>აღწერა</w:t>
            </w:r>
          </w:p>
        </w:tc>
        <w:tc>
          <w:tcPr>
            <w:tcW w:w="630" w:type="dxa"/>
            <w:textDirection w:val="btLr"/>
            <w:vAlign w:val="center"/>
          </w:tcPr>
          <w:p w:rsidR="00FB2573" w:rsidRPr="00DB4112" w:rsidRDefault="00FB2573" w:rsidP="00DB4112">
            <w:pPr>
              <w:spacing w:before="60" w:after="60"/>
              <w:ind w:left="113" w:right="113"/>
              <w:jc w:val="center"/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  <w:t>ადგილობრივი მთავრობა</w:t>
            </w:r>
          </w:p>
        </w:tc>
        <w:tc>
          <w:tcPr>
            <w:tcW w:w="630" w:type="dxa"/>
            <w:textDirection w:val="btLr"/>
            <w:vAlign w:val="center"/>
          </w:tcPr>
          <w:p w:rsidR="00FB2573" w:rsidRPr="00DB4112" w:rsidRDefault="00FB2573" w:rsidP="0099763D">
            <w:pPr>
              <w:spacing w:before="60" w:after="60"/>
              <w:ind w:left="113" w:right="113"/>
              <w:jc w:val="center"/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  <w:t xml:space="preserve">გლობალური </w:t>
            </w:r>
            <w:r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  <w:t>ფონდი</w:t>
            </w:r>
            <w:r w:rsidRPr="00DB4112">
              <w:rPr>
                <w:rFonts w:ascii="Sylfaen" w:hAnsi="Sylfaen" w:cs="Times New Roman"/>
                <w:i/>
                <w:sz w:val="18"/>
                <w:szCs w:val="18"/>
                <w:lang w:val="ka-GE"/>
              </w:rPr>
              <w:t xml:space="preserve">  </w:t>
            </w:r>
          </w:p>
        </w:tc>
      </w:tr>
      <w:tr w:rsidR="00FB2573" w:rsidRPr="00DB4112" w:rsidTr="00FB2573">
        <w:tc>
          <w:tcPr>
            <w:tcW w:w="13140" w:type="dxa"/>
            <w:gridSpan w:val="2"/>
            <w:shd w:val="clear" w:color="auto" w:fill="92CDDC" w:themeFill="accent5" w:themeFillTint="99"/>
          </w:tcPr>
          <w:p w:rsidR="00FB2573" w:rsidRPr="00DB4112" w:rsidRDefault="00FB2573" w:rsidP="00AB782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ტბ გამოვლენის გაძლიერება</w:t>
            </w:r>
          </w:p>
        </w:tc>
        <w:tc>
          <w:tcPr>
            <w:tcW w:w="630" w:type="dxa"/>
            <w:shd w:val="clear" w:color="auto" w:fill="92CDDC" w:themeFill="accent5" w:themeFillTint="99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92CDDC" w:themeFill="accent5" w:themeFillTint="99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9A4D02" w:rsidP="0099763D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შეხვედრები/ინფორმაციის გაზიარება</w:t>
            </w:r>
            <w:r w:rsidR="00FB2573"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60" w:type="dxa"/>
          </w:tcPr>
          <w:p w:rsidR="00FB2573" w:rsidRPr="00DB4112" w:rsidRDefault="009A4D02" w:rsidP="009A4D02">
            <w:pPr>
              <w:spacing w:before="60" w:after="6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შეხვედრები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 </w:t>
            </w:r>
            <w:proofErr w:type="spellStart"/>
            <w:r w:rsidRPr="00DB4112">
              <w:rPr>
                <w:rFonts w:ascii="Sylfaen" w:hAnsi="Sylfaen" w:cs="Sylfaen"/>
                <w:sz w:val="18"/>
                <w:szCs w:val="18"/>
              </w:rPr>
              <w:t>ჩატარდება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ინფორმაციის გაზიარება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2573"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B2573" w:rsidRPr="00DB4112">
              <w:rPr>
                <w:rFonts w:ascii="Sylfaen" w:hAnsi="Sylfaen" w:cs="Sylfaen"/>
                <w:sz w:val="18"/>
                <w:szCs w:val="18"/>
              </w:rPr>
              <w:t>პარტნიორების</w:t>
            </w:r>
            <w:proofErr w:type="spellEnd"/>
            <w:r w:rsidR="00FB2573"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2573" w:rsidRPr="00DB4112">
              <w:rPr>
                <w:rFonts w:ascii="Sylfaen" w:hAnsi="Sylfaen" w:cs="Sylfaen"/>
                <w:sz w:val="18"/>
                <w:szCs w:val="18"/>
                <w:lang w:val="ka-GE"/>
              </w:rPr>
              <w:t>ჩამოყალიბებისა</w:t>
            </w:r>
            <w:r w:rsidR="00FB2573"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B2573" w:rsidRPr="00DB411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="00FB2573"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B2573" w:rsidRPr="00DB4112">
              <w:rPr>
                <w:rFonts w:ascii="Sylfaen" w:hAnsi="Sylfaen" w:cs="Sylfaen"/>
                <w:sz w:val="18"/>
                <w:szCs w:val="18"/>
              </w:rPr>
              <w:t>კოორდინაცი</w:t>
            </w:r>
            <w:proofErr w:type="spellEnd"/>
            <w:r w:rsidR="00FB2573" w:rsidRPr="00DB4112"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  <w:r w:rsidR="00FB2573" w:rsidRPr="00DB4112">
              <w:rPr>
                <w:rFonts w:ascii="Sylfaen" w:hAnsi="Sylfaen" w:cs="Sylfaen"/>
                <w:sz w:val="18"/>
                <w:szCs w:val="18"/>
              </w:rPr>
              <w:t>ს</w:t>
            </w:r>
            <w:r w:rsidR="00FB2573" w:rsidRPr="00DB411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ხელშეწყობისთვის</w:t>
            </w:r>
            <w:r w:rsidR="00FB2573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  <w:r w:rsidR="00FB2573" w:rsidRPr="00DB411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AB7820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ტრენინგი</w:t>
            </w:r>
          </w:p>
        </w:tc>
        <w:tc>
          <w:tcPr>
            <w:tcW w:w="10260" w:type="dxa"/>
          </w:tcPr>
          <w:p w:rsidR="00FB2573" w:rsidRPr="0099763D" w:rsidRDefault="00FB2573" w:rsidP="00FB2573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პჯდ ექიმების და ექთნების, სხვა სპეციალ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ისტების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, ტბ სამსახურების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პერსონალის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ტრენინგი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ტბ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გამოვლენაში.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DB4112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მოსახლეობის ცნობიერების ამაღლება </w:t>
            </w:r>
          </w:p>
        </w:tc>
        <w:tc>
          <w:tcPr>
            <w:tcW w:w="10260" w:type="dxa"/>
          </w:tcPr>
          <w:p w:rsidR="00FB2573" w:rsidRPr="00DB4112" w:rsidRDefault="00FB2573" w:rsidP="00DB411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გფ მიმდინარე კამპანიასთან დამატებით, სპეციფიკურად აჭარის რეგიონისთვის კონკრეტული აქტივობები (ნაბეჭდი საინფორმაციო მასალები, ვიდეო და აუდიო კლიპები, სოციალური რეკლამა, და სხვა)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AB7820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მობილური დიაგნოსტიკური ლაბორატორია (მანქანა)</w:t>
            </w:r>
          </w:p>
        </w:tc>
        <w:tc>
          <w:tcPr>
            <w:tcW w:w="10260" w:type="dxa"/>
          </w:tcPr>
          <w:p w:rsidR="00FB2573" w:rsidRPr="00DB4112" w:rsidRDefault="00FB2573" w:rsidP="00AB782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მიკროავტობუსის შეძენა შემთხვევების აქტიური გამოვლენისთვის შერჩეულ რაიონებში. აქტიური გამოვლენა მოიცავს ტბ, აივ და 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ჰეპატიტზე სკრინინგს.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99763D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მობილური ლაბორატორია </w:t>
            </w:r>
          </w:p>
        </w:tc>
        <w:tc>
          <w:tcPr>
            <w:tcW w:w="10260" w:type="dxa"/>
          </w:tcPr>
          <w:p w:rsidR="00FB2573" w:rsidRPr="00DB4112" w:rsidRDefault="00FB2573" w:rsidP="00AB782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მობილური დიაგნოსტიკური ლაბორიტორიის საწვავი და შენახვა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თანაგადახდის პრინციპით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99763D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მობილური  ლაბორატორია: </w:t>
            </w:r>
          </w:p>
        </w:tc>
        <w:tc>
          <w:tcPr>
            <w:tcW w:w="10260" w:type="dxa"/>
          </w:tcPr>
          <w:p w:rsidR="00FB2573" w:rsidRPr="00DB4112" w:rsidRDefault="00FB2573" w:rsidP="00AB7820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პერსონალის ანაზღაურება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DB411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Xpert</w:t>
            </w:r>
            <w:proofErr w:type="spellEnd"/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MTB/RIF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ტექნოლოგია </w:t>
            </w:r>
          </w:p>
        </w:tc>
        <w:tc>
          <w:tcPr>
            <w:tcW w:w="10260" w:type="dxa"/>
          </w:tcPr>
          <w:p w:rsidR="00FB2573" w:rsidRPr="00DB4112" w:rsidRDefault="00FB2573" w:rsidP="00FB257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Xpert</w:t>
            </w:r>
            <w:proofErr w:type="spellEnd"/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MTB/</w:t>
            </w:r>
            <w:proofErr w:type="gramStart"/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RIF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აპარატები</w:t>
            </w:r>
            <w:proofErr w:type="gramEnd"/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კარტრიჯები, შენახვა, გარანტია. გფ პროექტით შეძენილია 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MTB/RIF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აპარატების ბათუმის, ქობულეთის და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ხ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ულოსთვის. დამატებითი აპარატის შეძენა მოხდება ხელვაჩაურის რაიონისთვის.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13140" w:type="dxa"/>
            <w:gridSpan w:val="2"/>
            <w:shd w:val="clear" w:color="auto" w:fill="92CDDC" w:themeFill="accent5" w:themeFillTint="99"/>
          </w:tcPr>
          <w:p w:rsidR="00FB2573" w:rsidRPr="00DB4112" w:rsidRDefault="00FB2573" w:rsidP="00AB782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 xml:space="preserve">მკურნალობის შედეგების გაუმჯობესება ტბ შემთხვევბის სრულყოფილი მართვით </w:t>
            </w:r>
          </w:p>
        </w:tc>
        <w:tc>
          <w:tcPr>
            <w:tcW w:w="630" w:type="dxa"/>
            <w:shd w:val="clear" w:color="auto" w:fill="92CDDC" w:themeFill="accent5" w:themeFillTint="99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92CDDC" w:themeFill="accent5" w:themeFillTint="99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FB257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შემთხვევის მართვის პროტოკოლის შექმნა </w:t>
            </w:r>
          </w:p>
        </w:tc>
        <w:tc>
          <w:tcPr>
            <w:tcW w:w="10260" w:type="dxa"/>
          </w:tcPr>
          <w:p w:rsidR="00FB2573" w:rsidRPr="00DB4112" w:rsidRDefault="00FB2573" w:rsidP="00FB257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შემთხვევის მართვის პროტოკოლის და სტანდარტული ოპერაციული სახელმძღვანელოს შექმნა ადგილობრივი კონსტულტანტების მიერ, რაც ასევე მოიცავს აღრიცხვისა და ანგარიშგების ფორმებს და ტრენინგს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ქვემოთ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AB7820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შემთხვევის მენეჯერთა ტრენინგი</w:t>
            </w:r>
          </w:p>
        </w:tc>
        <w:tc>
          <w:tcPr>
            <w:tcW w:w="10260" w:type="dxa"/>
          </w:tcPr>
          <w:p w:rsidR="00FB2573" w:rsidRPr="00DB4112" w:rsidRDefault="00FB2573" w:rsidP="0099763D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საზ ჯანდაცვის ცენტრებ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ს შემთხვევის მენეჯერთა ტრენინგი მკურნალობის მეთვალყურეობის, დამყოლობის ხელშეწყობის, ინფექციის კონტროლის, კოორდინაციის და კომუნიკაციის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, და სხვა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საკითხებზე.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FB257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შემთხვევის მენეჯერები </w:t>
            </w:r>
          </w:p>
        </w:tc>
        <w:tc>
          <w:tcPr>
            <w:tcW w:w="10260" w:type="dxa"/>
          </w:tcPr>
          <w:p w:rsidR="00FB2573" w:rsidRPr="00DB4112" w:rsidRDefault="00FB2573" w:rsidP="00FB257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5 შემთხვევის მენეჯერის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დაფინანსება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(2 ბათუმში, 1 ხელვაჩაურში და 1 შუახევსა და ქედაში).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AB7820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სატრანსპორტო საშუალებები</w:t>
            </w:r>
          </w:p>
        </w:tc>
        <w:tc>
          <w:tcPr>
            <w:tcW w:w="10260" w:type="dxa"/>
          </w:tcPr>
          <w:p w:rsidR="00FB2573" w:rsidRPr="00DB4112" w:rsidRDefault="00FB2573" w:rsidP="0099763D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4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მანქანის შეძენა პროექტის მხარდასაჭერად (2 ბათუმისთვის, 1 ხელვაჩაურისთვის და 1 შუახევისა და ქედასთვის).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99763D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საწვავი და მოვლა</w:t>
            </w:r>
          </w:p>
        </w:tc>
        <w:tc>
          <w:tcPr>
            <w:tcW w:w="10260" w:type="dxa"/>
          </w:tcPr>
          <w:p w:rsidR="00FB2573" w:rsidRPr="00DB4112" w:rsidRDefault="00FB2573" w:rsidP="0073033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საწვავი და სატრანსპორტო საშუალების მოვლა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 (4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მანქანა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99763D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პლანშეტები </w:t>
            </w:r>
          </w:p>
        </w:tc>
        <w:tc>
          <w:tcPr>
            <w:tcW w:w="10260" w:type="dxa"/>
          </w:tcPr>
          <w:p w:rsidR="00FB2573" w:rsidRPr="00DB4112" w:rsidRDefault="00FB2573" w:rsidP="00AB782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პლანშეტების შეძენა შემთხვევის მენეჯერებისთვის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საინფორმაციო-საკომუნიკაციო სამუშაოს ხელშეწყობისთვის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FB257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საოპერაციო ხარჯები</w:t>
            </w:r>
          </w:p>
        </w:tc>
        <w:tc>
          <w:tcPr>
            <w:tcW w:w="10260" w:type="dxa"/>
          </w:tcPr>
          <w:p w:rsidR="00FB2573" w:rsidRPr="00DB4112" w:rsidRDefault="00FB2573" w:rsidP="0073033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პროექტის საოპერაციო ხარჯები (მობილური, ინტერნეტი, საკანცელარიო, ბეჭდვა, და სხვა)</w:t>
            </w: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99763D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დამყოლობის მხარდაჭერა </w:t>
            </w:r>
          </w:p>
        </w:tc>
        <w:tc>
          <w:tcPr>
            <w:tcW w:w="10260" w:type="dxa"/>
          </w:tcPr>
          <w:p w:rsidR="00FB2573" w:rsidRPr="00DB4112" w:rsidRDefault="00FB2573" w:rsidP="009A4D0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ამ აქტივობის ფარგლებში შესაძლოა დამატებითი პაკეტის გათვალისწინება</w:t>
            </w:r>
            <w:r w:rsidR="009A4D0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(საჭიროებს შეთანხმებას)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FB2573" w:rsidRPr="00DB4112" w:rsidTr="00FB2573">
        <w:tc>
          <w:tcPr>
            <w:tcW w:w="2880" w:type="dxa"/>
          </w:tcPr>
          <w:p w:rsidR="00FB2573" w:rsidRPr="00DB4112" w:rsidRDefault="00FB2573" w:rsidP="0099763D">
            <w:pPr>
              <w:spacing w:before="60" w:after="60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VOT</w:t>
            </w:r>
          </w:p>
        </w:tc>
        <w:tc>
          <w:tcPr>
            <w:tcW w:w="10260" w:type="dxa"/>
          </w:tcPr>
          <w:p w:rsidR="00FB2573" w:rsidRPr="00DB4112" w:rsidRDefault="001A46E0" w:rsidP="001A46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ვიდეო მეთვალყურეობით მკურნალობის</w:t>
            </w:r>
            <w:r w:rsidR="00FB2573"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დანერგვა აჭარაში. მობილური ტელეფონების </w:t>
            </w:r>
            <w:r w:rsidR="00FB2573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და </w:t>
            </w:r>
            <w:r w:rsidR="00FB2573" w:rsidRPr="00DB4112">
              <w:rPr>
                <w:rFonts w:ascii="Sylfaen" w:hAnsi="Sylfaen" w:cs="Times New Roman"/>
                <w:sz w:val="18"/>
                <w:szCs w:val="18"/>
                <w:lang w:val="ka-GE"/>
              </w:rPr>
              <w:t>ინტერნეტ პაკეტის შეძენა პაციენტებისთვის აჭარაში</w:t>
            </w: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B2573" w:rsidRPr="00DB4112" w:rsidRDefault="00FB2573" w:rsidP="00AB7820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11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</w:tbl>
    <w:p w:rsidR="006C4792" w:rsidRDefault="006C4792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  <w:sectPr w:rsidR="006C4792" w:rsidSect="00FB2573">
          <w:pgSz w:w="15840" w:h="12240" w:orient="landscape"/>
          <w:pgMar w:top="630" w:right="1440" w:bottom="450" w:left="1440" w:header="720" w:footer="720" w:gutter="0"/>
          <w:cols w:space="720"/>
          <w:docGrid w:linePitch="360"/>
        </w:sectPr>
      </w:pPr>
    </w:p>
    <w:p w:rsidR="00EF51B3" w:rsidRPr="00E352B2" w:rsidRDefault="00EF51B3" w:rsidP="00922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Sylfaen" w:hAnsi="Sylfaen" w:cs="Helvetica"/>
          <w:color w:val="000000"/>
          <w:sz w:val="20"/>
          <w:szCs w:val="20"/>
          <w:lang w:val="ka-GE"/>
        </w:rPr>
      </w:pPr>
    </w:p>
    <w:sectPr w:rsidR="00EF51B3" w:rsidRPr="00E3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55DB"/>
    <w:multiLevelType w:val="multilevel"/>
    <w:tmpl w:val="072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F74D5"/>
    <w:multiLevelType w:val="hybridMultilevel"/>
    <w:tmpl w:val="C1E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605F"/>
    <w:multiLevelType w:val="hybridMultilevel"/>
    <w:tmpl w:val="E0C6C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5F"/>
    <w:rsid w:val="00020E32"/>
    <w:rsid w:val="00022D4D"/>
    <w:rsid w:val="000765E6"/>
    <w:rsid w:val="00086170"/>
    <w:rsid w:val="00090817"/>
    <w:rsid w:val="00090D15"/>
    <w:rsid w:val="000F4832"/>
    <w:rsid w:val="0014795F"/>
    <w:rsid w:val="001A46E0"/>
    <w:rsid w:val="001A57C0"/>
    <w:rsid w:val="001A6FC7"/>
    <w:rsid w:val="001B72D1"/>
    <w:rsid w:val="001C0FDF"/>
    <w:rsid w:val="001F048B"/>
    <w:rsid w:val="002023CD"/>
    <w:rsid w:val="00244EFD"/>
    <w:rsid w:val="0025194E"/>
    <w:rsid w:val="00332140"/>
    <w:rsid w:val="00374537"/>
    <w:rsid w:val="003C7175"/>
    <w:rsid w:val="00484AF7"/>
    <w:rsid w:val="004872B1"/>
    <w:rsid w:val="0050544E"/>
    <w:rsid w:val="005163A1"/>
    <w:rsid w:val="00566980"/>
    <w:rsid w:val="00574CCD"/>
    <w:rsid w:val="00592399"/>
    <w:rsid w:val="005D16CF"/>
    <w:rsid w:val="00656914"/>
    <w:rsid w:val="00677BF5"/>
    <w:rsid w:val="00680C98"/>
    <w:rsid w:val="006B5A37"/>
    <w:rsid w:val="006C4792"/>
    <w:rsid w:val="006F77B0"/>
    <w:rsid w:val="00730337"/>
    <w:rsid w:val="00753E1E"/>
    <w:rsid w:val="008066E4"/>
    <w:rsid w:val="00854E49"/>
    <w:rsid w:val="0087438F"/>
    <w:rsid w:val="008E522C"/>
    <w:rsid w:val="008E58F4"/>
    <w:rsid w:val="00922B53"/>
    <w:rsid w:val="00986147"/>
    <w:rsid w:val="0099763D"/>
    <w:rsid w:val="009A4D02"/>
    <w:rsid w:val="009D0B8E"/>
    <w:rsid w:val="009E6A28"/>
    <w:rsid w:val="00A72F69"/>
    <w:rsid w:val="00A86804"/>
    <w:rsid w:val="00A95BBA"/>
    <w:rsid w:val="00B0106E"/>
    <w:rsid w:val="00B2378B"/>
    <w:rsid w:val="00B731AE"/>
    <w:rsid w:val="00B76392"/>
    <w:rsid w:val="00B82283"/>
    <w:rsid w:val="00BB257C"/>
    <w:rsid w:val="00BE24C5"/>
    <w:rsid w:val="00C16586"/>
    <w:rsid w:val="00C759C6"/>
    <w:rsid w:val="00C77334"/>
    <w:rsid w:val="00CF3234"/>
    <w:rsid w:val="00D678A6"/>
    <w:rsid w:val="00D70A1A"/>
    <w:rsid w:val="00DB4112"/>
    <w:rsid w:val="00E1024A"/>
    <w:rsid w:val="00E352B2"/>
    <w:rsid w:val="00E51280"/>
    <w:rsid w:val="00E635F6"/>
    <w:rsid w:val="00E66FD5"/>
    <w:rsid w:val="00EA3579"/>
    <w:rsid w:val="00EC40B5"/>
    <w:rsid w:val="00EE4529"/>
    <w:rsid w:val="00EF51B3"/>
    <w:rsid w:val="00F00AC8"/>
    <w:rsid w:val="00F42D76"/>
    <w:rsid w:val="00F52C9A"/>
    <w:rsid w:val="00F56EB9"/>
    <w:rsid w:val="00F93635"/>
    <w:rsid w:val="00FB2573"/>
    <w:rsid w:val="00FC354D"/>
    <w:rsid w:val="00FC5ED7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095C7-1A19-4080-9167-26F8BEE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A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66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4CDB-356E-431A-9A0F-E26E191A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Irma Khonelidze</cp:lastModifiedBy>
  <cp:revision>7</cp:revision>
  <cp:lastPrinted>2017-08-14T10:01:00Z</cp:lastPrinted>
  <dcterms:created xsi:type="dcterms:W3CDTF">2018-02-26T11:27:00Z</dcterms:created>
  <dcterms:modified xsi:type="dcterms:W3CDTF">2018-02-26T11:39:00Z</dcterms:modified>
</cp:coreProperties>
</file>